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2D723B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5A45526E" w:rsidR="00F92268" w:rsidRPr="002D723B" w:rsidRDefault="00260020" w:rsidP="00F246C7">
            <w:pPr>
              <w:pStyle w:val="RefTableHeader"/>
            </w:pPr>
            <w:r>
              <w:t>1877</w:t>
            </w:r>
            <w:r w:rsidR="00967D31" w:rsidRPr="002D723B">
              <w:t>-</w:t>
            </w:r>
            <w:r w:rsidR="00002A02">
              <w:t>A</w:t>
            </w:r>
          </w:p>
        </w:tc>
      </w:tr>
    </w:tbl>
    <w:p w14:paraId="74FBA5B4" w14:textId="77777777" w:rsidR="002D723B" w:rsidRDefault="002D723B" w:rsidP="002D723B">
      <w:pPr>
        <w:pStyle w:val="BodyText"/>
        <w:spacing w:after="0"/>
        <w:rPr>
          <w:b/>
          <w:bCs/>
          <w:sz w:val="16"/>
          <w:szCs w:val="16"/>
        </w:rPr>
        <w:sectPr w:rsidR="002D723B" w:rsidSect="004D6C37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049D47C" w:rsidR="004B15BB" w:rsidRPr="002D723B" w:rsidRDefault="00B61A8B" w:rsidP="002D723B">
      <w:pPr>
        <w:pStyle w:val="Heading1"/>
        <w:spacing w:after="0"/>
        <w:rPr>
          <w:lang w:val="pt-BR"/>
        </w:rPr>
      </w:pPr>
      <w:r w:rsidRPr="002D723B">
        <w:rPr>
          <w:lang w:val="pt-BR"/>
        </w:rPr>
        <w:t xml:space="preserve">Specialty </w:t>
      </w:r>
      <w:r w:rsidR="0024395C">
        <w:rPr>
          <w:lang w:val="pt-BR"/>
        </w:rPr>
        <w:t>Guideline Management</w:t>
      </w:r>
      <w:r w:rsidR="008C54D9" w:rsidRPr="002D723B">
        <w:rPr>
          <w:lang w:val="pt-BR"/>
        </w:rPr>
        <w:br/>
      </w:r>
      <w:r w:rsidR="00260020" w:rsidRPr="00927FAF">
        <w:rPr>
          <w:rStyle w:val="normaltextrun"/>
          <w:color w:val="000000"/>
          <w:szCs w:val="56"/>
          <w:shd w:val="clear" w:color="auto" w:fill="FFFFFF"/>
        </w:rPr>
        <w:t>Alpha</w:t>
      </w:r>
      <w:r w:rsidR="00260020" w:rsidRPr="005A4780">
        <w:rPr>
          <w:rStyle w:val="normaltextrun"/>
          <w:color w:val="000000"/>
          <w:szCs w:val="56"/>
          <w:shd w:val="clear" w:color="auto" w:fill="FFFFFF"/>
        </w:rPr>
        <w:t>1</w:t>
      </w:r>
      <w:r w:rsidR="00260020" w:rsidRPr="00927FAF">
        <w:rPr>
          <w:rStyle w:val="normaltextrun"/>
          <w:color w:val="000000"/>
          <w:szCs w:val="56"/>
          <w:shd w:val="clear" w:color="auto" w:fill="FFFFFF"/>
        </w:rPr>
        <w:t>-Proteinase Inhibitors</w:t>
      </w:r>
    </w:p>
    <w:p w14:paraId="78861C92" w14:textId="3FAABB3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1ACE3E20" w:rsidR="008E0F0D" w:rsidRPr="00BD1CC1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073832" w:rsidRPr="00073832">
        <w:t xml:space="preserve">Over-the-counter (OTC) </w:t>
      </w:r>
      <w:r w:rsidRPr="00BD1CC1">
        <w:t>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BD1CC1" w14:paraId="158421F8" w14:textId="77777777" w:rsidTr="00631CB5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BD1CC1" w:rsidRDefault="00252CE1" w:rsidP="00631CB5">
            <w:pPr>
              <w:pStyle w:val="TableHeader"/>
              <w:spacing w:after="0"/>
            </w:pPr>
            <w:bookmarkStart w:id="0" w:name="_Hlk159603270"/>
            <w:r w:rsidRPr="00BD1CC1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BD1CC1" w:rsidRDefault="00252CE1" w:rsidP="00631CB5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bookmarkEnd w:id="0"/>
      <w:tr w:rsidR="00260020" w:rsidRPr="00090A0D" w14:paraId="030C9A75" w14:textId="77777777" w:rsidTr="00631CB5">
        <w:trPr>
          <w:cantSplit/>
        </w:trPr>
        <w:tc>
          <w:tcPr>
            <w:tcW w:w="5265" w:type="dxa"/>
          </w:tcPr>
          <w:p w14:paraId="7BB706C5" w14:textId="77777777" w:rsidR="00260020" w:rsidRPr="00090A0D" w:rsidRDefault="00260020" w:rsidP="00374B8F">
            <w:pPr>
              <w:pStyle w:val="TableData"/>
              <w:spacing w:after="0"/>
            </w:pPr>
            <w:proofErr w:type="spellStart"/>
            <w:r w:rsidRPr="00090A0D">
              <w:t>Aralast</w:t>
            </w:r>
            <w:proofErr w:type="spellEnd"/>
            <w:r w:rsidRPr="00090A0D">
              <w:t xml:space="preserve"> NP</w:t>
            </w:r>
          </w:p>
        </w:tc>
        <w:tc>
          <w:tcPr>
            <w:tcW w:w="5595" w:type="dxa"/>
          </w:tcPr>
          <w:p w14:paraId="378BA383" w14:textId="77777777" w:rsidR="00260020" w:rsidRPr="00090A0D" w:rsidRDefault="00260020" w:rsidP="00374B8F">
            <w:pPr>
              <w:pStyle w:val="TableData"/>
              <w:spacing w:after="0"/>
            </w:pPr>
            <w:r w:rsidRPr="00090A0D">
              <w:t>alpha</w:t>
            </w:r>
            <w:r w:rsidRPr="00090A0D">
              <w:rPr>
                <w:vertAlign w:val="subscript"/>
              </w:rPr>
              <w:t>1</w:t>
            </w:r>
            <w:r w:rsidRPr="00090A0D">
              <w:t>-proteinase inhibitor [human]</w:t>
            </w:r>
          </w:p>
        </w:tc>
      </w:tr>
      <w:tr w:rsidR="00260020" w:rsidRPr="00090A0D" w14:paraId="6A187DDD" w14:textId="77777777" w:rsidTr="00631CB5">
        <w:trPr>
          <w:cantSplit/>
        </w:trPr>
        <w:tc>
          <w:tcPr>
            <w:tcW w:w="5265" w:type="dxa"/>
          </w:tcPr>
          <w:p w14:paraId="158E2105" w14:textId="77777777" w:rsidR="00260020" w:rsidRPr="00090A0D" w:rsidRDefault="00260020" w:rsidP="00374B8F">
            <w:pPr>
              <w:pStyle w:val="TableData"/>
              <w:spacing w:after="0"/>
            </w:pPr>
            <w:r w:rsidRPr="00090A0D">
              <w:t>Glassia</w:t>
            </w:r>
          </w:p>
        </w:tc>
        <w:tc>
          <w:tcPr>
            <w:tcW w:w="5595" w:type="dxa"/>
          </w:tcPr>
          <w:p w14:paraId="08957E3C" w14:textId="77777777" w:rsidR="00260020" w:rsidRPr="00090A0D" w:rsidRDefault="00260020" w:rsidP="00374B8F">
            <w:pPr>
              <w:pStyle w:val="TableData"/>
              <w:spacing w:after="0"/>
            </w:pPr>
            <w:r w:rsidRPr="00090A0D">
              <w:t>alpha</w:t>
            </w:r>
            <w:r w:rsidRPr="00090A0D">
              <w:rPr>
                <w:vertAlign w:val="subscript"/>
              </w:rPr>
              <w:t>1</w:t>
            </w:r>
            <w:r w:rsidRPr="00090A0D">
              <w:t>-proteinase inhibitor [human]</w:t>
            </w:r>
          </w:p>
        </w:tc>
      </w:tr>
      <w:tr w:rsidR="00260020" w:rsidRPr="00090A0D" w14:paraId="3EC3D1D0" w14:textId="77777777" w:rsidTr="00631CB5">
        <w:trPr>
          <w:cantSplit/>
        </w:trPr>
        <w:tc>
          <w:tcPr>
            <w:tcW w:w="5265" w:type="dxa"/>
          </w:tcPr>
          <w:p w14:paraId="48A17EB8" w14:textId="77777777" w:rsidR="00260020" w:rsidRPr="00090A0D" w:rsidRDefault="00260020" w:rsidP="00374B8F">
            <w:pPr>
              <w:pStyle w:val="TableData"/>
              <w:spacing w:after="0"/>
            </w:pPr>
            <w:r w:rsidRPr="00090A0D">
              <w:t>Prolastin-C</w:t>
            </w:r>
          </w:p>
        </w:tc>
        <w:tc>
          <w:tcPr>
            <w:tcW w:w="5595" w:type="dxa"/>
          </w:tcPr>
          <w:p w14:paraId="76874736" w14:textId="77777777" w:rsidR="00260020" w:rsidRPr="00090A0D" w:rsidRDefault="00260020" w:rsidP="00374B8F">
            <w:pPr>
              <w:pStyle w:val="TableData"/>
              <w:spacing w:after="0"/>
            </w:pPr>
            <w:r w:rsidRPr="00090A0D">
              <w:t>alpha</w:t>
            </w:r>
            <w:r w:rsidRPr="00090A0D">
              <w:rPr>
                <w:vertAlign w:val="subscript"/>
              </w:rPr>
              <w:t>1</w:t>
            </w:r>
            <w:r w:rsidRPr="00090A0D">
              <w:t>-proteinase inhibitor [human]</w:t>
            </w:r>
          </w:p>
        </w:tc>
      </w:tr>
      <w:tr w:rsidR="00260020" w:rsidRPr="00090A0D" w14:paraId="779F9BD2" w14:textId="77777777" w:rsidTr="00631CB5">
        <w:trPr>
          <w:cantSplit/>
        </w:trPr>
        <w:tc>
          <w:tcPr>
            <w:tcW w:w="5265" w:type="dxa"/>
          </w:tcPr>
          <w:p w14:paraId="7954E151" w14:textId="77777777" w:rsidR="00260020" w:rsidRPr="00090A0D" w:rsidRDefault="00260020" w:rsidP="00374B8F">
            <w:pPr>
              <w:pStyle w:val="TableData"/>
              <w:spacing w:after="0"/>
            </w:pPr>
            <w:r w:rsidRPr="00090A0D">
              <w:t>Zemaira</w:t>
            </w:r>
          </w:p>
        </w:tc>
        <w:tc>
          <w:tcPr>
            <w:tcW w:w="5595" w:type="dxa"/>
          </w:tcPr>
          <w:p w14:paraId="4854C893" w14:textId="77777777" w:rsidR="00260020" w:rsidRPr="00090A0D" w:rsidRDefault="00260020" w:rsidP="00374B8F">
            <w:pPr>
              <w:pStyle w:val="TableData"/>
              <w:spacing w:after="0"/>
            </w:pPr>
            <w:r w:rsidRPr="00090A0D">
              <w:t>alpha</w:t>
            </w:r>
            <w:r w:rsidRPr="00090A0D">
              <w:rPr>
                <w:vertAlign w:val="subscript"/>
              </w:rPr>
              <w:t>1</w:t>
            </w:r>
            <w:r w:rsidRPr="00090A0D">
              <w:t>-proteinase inhibitor [human]</w:t>
            </w:r>
          </w:p>
        </w:tc>
      </w:tr>
    </w:tbl>
    <w:p w14:paraId="14CE6108" w14:textId="2B29DDB2" w:rsidR="00FC1AAD" w:rsidRDefault="00474E9A" w:rsidP="002D723B">
      <w:pPr>
        <w:pStyle w:val="Heading2"/>
        <w:tabs>
          <w:tab w:val="left" w:pos="9525"/>
        </w:tabs>
        <w:spacing w:before="360"/>
      </w:pPr>
      <w:r>
        <w:t>Indications</w:t>
      </w:r>
    </w:p>
    <w:p w14:paraId="535518F8" w14:textId="25537EB9" w:rsidR="00260020" w:rsidRPr="00260020" w:rsidRDefault="00260020" w:rsidP="00260020">
      <w:pPr>
        <w:pStyle w:val="BodyText"/>
      </w:pPr>
      <w:r w:rsidRPr="00090A0D">
        <w:t>The indications below including FDA-approved indications and compendial uses are considered a covered benefit provided that all the approval criteria are met and the member has no exclusions to the prescribed therapy</w:t>
      </w:r>
    </w:p>
    <w:p w14:paraId="4D0207E5" w14:textId="1B290E35" w:rsidR="00474E9A" w:rsidRPr="00260020" w:rsidRDefault="00474E9A" w:rsidP="00474E9A">
      <w:pPr>
        <w:pStyle w:val="Heading3"/>
        <w:keepNext w:val="0"/>
        <w:rPr>
          <w:vertAlign w:val="superscript"/>
        </w:rPr>
      </w:pPr>
      <w:r w:rsidRPr="00AF287D">
        <w:t>FDA-approved Indications</w:t>
      </w:r>
      <w:r w:rsidR="00260020">
        <w:rPr>
          <w:vertAlign w:val="superscript"/>
        </w:rPr>
        <w:t>1-5</w:t>
      </w:r>
    </w:p>
    <w:p w14:paraId="3E7F4BA6" w14:textId="77777777" w:rsidR="00260020" w:rsidRPr="00090A0D" w:rsidRDefault="00260020" w:rsidP="00260020">
      <w:pPr>
        <w:pStyle w:val="Heading4"/>
      </w:pPr>
      <w:r w:rsidRPr="00090A0D">
        <w:t>Aralast NP</w:t>
      </w:r>
    </w:p>
    <w:p w14:paraId="3485F3AD" w14:textId="77777777" w:rsidR="00260020" w:rsidRPr="00090A0D" w:rsidRDefault="00260020" w:rsidP="00260020">
      <w:pPr>
        <w:pStyle w:val="ListParagraph"/>
        <w:widowControl w:val="0"/>
        <w:numPr>
          <w:ilvl w:val="0"/>
          <w:numId w:val="0"/>
        </w:numPr>
        <w:tabs>
          <w:tab w:val="left" w:pos="2520"/>
        </w:tabs>
        <w:autoSpaceDE w:val="0"/>
        <w:autoSpaceDN w:val="0"/>
        <w:adjustRightInd w:val="0"/>
        <w:spacing w:after="120"/>
        <w:ind w:right="144"/>
        <w:rPr>
          <w:color w:val="000000"/>
        </w:rPr>
      </w:pPr>
      <w:r w:rsidRPr="00090A0D">
        <w:rPr>
          <w:color w:val="000000"/>
        </w:rPr>
        <w:t>Chronic augmentation therapy in adults with clinically evident emphysema due to severe congenital deficiency of alpha</w:t>
      </w:r>
      <w:r w:rsidRPr="00090A0D">
        <w:rPr>
          <w:color w:val="000000"/>
          <w:vertAlign w:val="subscript"/>
        </w:rPr>
        <w:t>1</w:t>
      </w:r>
      <w:r w:rsidRPr="00090A0D">
        <w:rPr>
          <w:color w:val="000000"/>
        </w:rPr>
        <w:t>-proteinase inhibitor (alpha</w:t>
      </w:r>
      <w:r w:rsidRPr="00090A0D">
        <w:rPr>
          <w:color w:val="000000"/>
          <w:vertAlign w:val="subscript"/>
        </w:rPr>
        <w:t>1</w:t>
      </w:r>
      <w:r w:rsidRPr="00090A0D">
        <w:rPr>
          <w:color w:val="000000"/>
        </w:rPr>
        <w:t>-antitrypsin deficiency).</w:t>
      </w:r>
    </w:p>
    <w:p w14:paraId="11E1FB8F" w14:textId="77777777" w:rsidR="00260020" w:rsidRPr="00090A0D" w:rsidRDefault="00260020" w:rsidP="00260020">
      <w:pPr>
        <w:pStyle w:val="Heading4"/>
      </w:pPr>
      <w:r w:rsidRPr="00090A0D">
        <w:t>Glassia</w:t>
      </w:r>
    </w:p>
    <w:p w14:paraId="257C49E8" w14:textId="77777777" w:rsidR="00260020" w:rsidRPr="00090A0D" w:rsidRDefault="00260020" w:rsidP="00260020">
      <w:pPr>
        <w:pStyle w:val="ListParagraph"/>
        <w:numPr>
          <w:ilvl w:val="0"/>
          <w:numId w:val="0"/>
        </w:numPr>
        <w:tabs>
          <w:tab w:val="left" w:pos="2520"/>
        </w:tabs>
        <w:autoSpaceDE w:val="0"/>
        <w:autoSpaceDN w:val="0"/>
        <w:adjustRightInd w:val="0"/>
        <w:spacing w:after="120"/>
        <w:ind w:right="144"/>
        <w:rPr>
          <w:color w:val="000000"/>
        </w:rPr>
      </w:pPr>
      <w:r w:rsidRPr="00090A0D">
        <w:rPr>
          <w:color w:val="000000"/>
        </w:rPr>
        <w:t>Chronic augmentation and maintenance therapy in adults with clinically evident emphysema due to severe hereditary deficiency of alpha1-proteinase inhibitor (alpha1-antitrypsin deficiency).</w:t>
      </w:r>
    </w:p>
    <w:p w14:paraId="2C2C2286" w14:textId="77777777" w:rsidR="00260020" w:rsidRPr="00090A0D" w:rsidRDefault="00260020" w:rsidP="00260020">
      <w:pPr>
        <w:pStyle w:val="Heading4"/>
        <w:keepLines w:val="0"/>
        <w:rPr>
          <w:bCs/>
          <w:u w:val="single"/>
        </w:rPr>
      </w:pPr>
      <w:r w:rsidRPr="00090A0D">
        <w:lastRenderedPageBreak/>
        <w:t>Prolastin</w:t>
      </w:r>
      <w:r w:rsidRPr="00090A0D">
        <w:rPr>
          <w:b/>
        </w:rPr>
        <w:t>-</w:t>
      </w:r>
      <w:r w:rsidRPr="00090A0D">
        <w:rPr>
          <w:bCs/>
        </w:rPr>
        <w:t>C</w:t>
      </w:r>
    </w:p>
    <w:p w14:paraId="34352EF8" w14:textId="77777777" w:rsidR="00260020" w:rsidRPr="00090A0D" w:rsidRDefault="00260020" w:rsidP="00260020">
      <w:pPr>
        <w:pStyle w:val="ListParagraph"/>
        <w:keepNext/>
        <w:numPr>
          <w:ilvl w:val="0"/>
          <w:numId w:val="0"/>
        </w:numPr>
        <w:tabs>
          <w:tab w:val="left" w:pos="2520"/>
        </w:tabs>
        <w:autoSpaceDE w:val="0"/>
        <w:autoSpaceDN w:val="0"/>
        <w:adjustRightInd w:val="0"/>
        <w:spacing w:after="120"/>
        <w:ind w:right="147"/>
        <w:rPr>
          <w:bCs/>
          <w:u w:val="single"/>
        </w:rPr>
      </w:pPr>
      <w:r w:rsidRPr="00090A0D">
        <w:rPr>
          <w:bCs/>
        </w:rPr>
        <w:t xml:space="preserve">Chronic augmentation </w:t>
      </w:r>
      <w:r w:rsidRPr="00090A0D">
        <w:rPr>
          <w:bCs/>
          <w:color w:val="000000"/>
        </w:rPr>
        <w:t>and maintenance therapy in adults with clinical evidence of emphysema due to severe hereditary deficiency of alpha</w:t>
      </w:r>
      <w:r w:rsidRPr="00090A0D">
        <w:rPr>
          <w:bCs/>
          <w:color w:val="000000"/>
          <w:vertAlign w:val="subscript"/>
        </w:rPr>
        <w:t>1</w:t>
      </w:r>
      <w:r w:rsidRPr="00090A0D">
        <w:rPr>
          <w:bCs/>
          <w:color w:val="000000"/>
        </w:rPr>
        <w:t>-proteinase inhibitor (alpha</w:t>
      </w:r>
      <w:r w:rsidRPr="00090A0D">
        <w:rPr>
          <w:bCs/>
          <w:color w:val="000000"/>
          <w:vertAlign w:val="subscript"/>
        </w:rPr>
        <w:t>1</w:t>
      </w:r>
      <w:r w:rsidRPr="00090A0D">
        <w:rPr>
          <w:bCs/>
          <w:color w:val="000000"/>
        </w:rPr>
        <w:t>-antitrypsin deficiency).</w:t>
      </w:r>
    </w:p>
    <w:p w14:paraId="7757B416" w14:textId="77777777" w:rsidR="00260020" w:rsidRPr="00090A0D" w:rsidRDefault="00260020" w:rsidP="00282453">
      <w:pPr>
        <w:pStyle w:val="Heading4"/>
      </w:pPr>
      <w:r w:rsidRPr="00090A0D">
        <w:t>Zemaira</w:t>
      </w:r>
    </w:p>
    <w:p w14:paraId="7AA4A195" w14:textId="77777777" w:rsidR="00260020" w:rsidRPr="00090A0D" w:rsidRDefault="00260020" w:rsidP="00260020">
      <w:pPr>
        <w:pStyle w:val="ListParagraph"/>
        <w:widowControl w:val="0"/>
        <w:numPr>
          <w:ilvl w:val="0"/>
          <w:numId w:val="0"/>
        </w:numPr>
        <w:tabs>
          <w:tab w:val="left" w:pos="2520"/>
        </w:tabs>
        <w:autoSpaceDE w:val="0"/>
        <w:autoSpaceDN w:val="0"/>
        <w:adjustRightInd w:val="0"/>
        <w:spacing w:after="120"/>
        <w:ind w:right="147"/>
        <w:rPr>
          <w:color w:val="000000"/>
        </w:rPr>
      </w:pPr>
      <w:r w:rsidRPr="00090A0D">
        <w:rPr>
          <w:bCs/>
          <w:color w:val="000000"/>
        </w:rPr>
        <w:t>Chronic</w:t>
      </w:r>
      <w:r w:rsidRPr="00090A0D">
        <w:rPr>
          <w:color w:val="000000"/>
        </w:rPr>
        <w:t xml:space="preserve"> augmentation and maintenance therapy in adults with alpha</w:t>
      </w:r>
      <w:r w:rsidRPr="00090A0D">
        <w:rPr>
          <w:color w:val="000000"/>
          <w:vertAlign w:val="subscript"/>
        </w:rPr>
        <w:t>1</w:t>
      </w:r>
      <w:r w:rsidRPr="00090A0D">
        <w:rPr>
          <w:color w:val="000000"/>
        </w:rPr>
        <w:t>-proteinase inhibitor deficiency and clinical evidence of emphysema.</w:t>
      </w:r>
    </w:p>
    <w:p w14:paraId="2DADBC0A" w14:textId="645B5FFD" w:rsidR="00474E9A" w:rsidRPr="00260020" w:rsidRDefault="00474E9A" w:rsidP="00474E9A">
      <w:pPr>
        <w:pStyle w:val="Heading3"/>
        <w:rPr>
          <w:rStyle w:val="Emphasis"/>
          <w:i w:val="0"/>
          <w:iCs w:val="0"/>
          <w:sz w:val="32"/>
          <w:szCs w:val="32"/>
          <w:vertAlign w:val="superscript"/>
        </w:rPr>
      </w:pPr>
      <w:r w:rsidRPr="00AF287D">
        <w:rPr>
          <w:rStyle w:val="Emphasis"/>
          <w:i w:val="0"/>
          <w:iCs w:val="0"/>
          <w:sz w:val="32"/>
          <w:szCs w:val="32"/>
        </w:rPr>
        <w:t>Compendial Uses</w:t>
      </w:r>
      <w:r w:rsidR="00260020">
        <w:rPr>
          <w:rStyle w:val="Emphasis"/>
          <w:i w:val="0"/>
          <w:iCs w:val="0"/>
          <w:sz w:val="32"/>
          <w:szCs w:val="32"/>
          <w:vertAlign w:val="superscript"/>
        </w:rPr>
        <w:t>9</w:t>
      </w:r>
    </w:p>
    <w:p w14:paraId="1ECE8532" w14:textId="142533BD" w:rsidR="00260020" w:rsidRPr="00260020" w:rsidRDefault="00260020" w:rsidP="00260020">
      <w:pPr>
        <w:pStyle w:val="BodyText"/>
      </w:pPr>
      <w:r w:rsidRPr="00090A0D">
        <w:t>Acute graft-versus-host disease (GVHD)</w:t>
      </w:r>
    </w:p>
    <w:p w14:paraId="776237D8" w14:textId="7BF27063" w:rsidR="00260020" w:rsidRPr="00412B62" w:rsidRDefault="00260020" w:rsidP="00260020">
      <w:pPr>
        <w:rPr>
          <w:rFonts w:cs="Arial"/>
          <w:szCs w:val="22"/>
        </w:rPr>
      </w:pPr>
      <w:r w:rsidRPr="00412B62">
        <w:rPr>
          <w:rFonts w:cs="Arial"/>
          <w:szCs w:val="22"/>
        </w:rPr>
        <w:t>All other indications are considered experimental/investigational and not medically necessary.</w:t>
      </w:r>
    </w:p>
    <w:p w14:paraId="4F519BE9" w14:textId="77777777" w:rsidR="00474E9A" w:rsidRDefault="00474E9A" w:rsidP="00FF66BF">
      <w:pPr>
        <w:pStyle w:val="Heading2"/>
      </w:pPr>
      <w:r>
        <w:t>Documentation</w:t>
      </w:r>
    </w:p>
    <w:p w14:paraId="3A87705B" w14:textId="77777777" w:rsidR="007E2895" w:rsidRDefault="007E2895" w:rsidP="007E2895">
      <w:pPr>
        <w:pStyle w:val="BodyText"/>
      </w:pPr>
      <w:r w:rsidRPr="00090A0D">
        <w:t>Submission of the following information is necessary to initiate the prior authorization review:</w:t>
      </w:r>
    </w:p>
    <w:p w14:paraId="5D03051E" w14:textId="368392CC" w:rsidR="007E2895" w:rsidRPr="00090A0D" w:rsidRDefault="007E2895" w:rsidP="007E2895">
      <w:pPr>
        <w:pStyle w:val="BodyText"/>
      </w:pPr>
      <w:r w:rsidRPr="001A1558">
        <w:rPr>
          <w:rStyle w:val="Heading3Char"/>
        </w:rPr>
        <w:t>Alpha</w:t>
      </w:r>
      <w:r w:rsidRPr="00BF4701">
        <w:rPr>
          <w:sz w:val="32"/>
          <w:szCs w:val="32"/>
          <w:vertAlign w:val="subscript"/>
        </w:rPr>
        <w:t>1</w:t>
      </w:r>
      <w:r w:rsidRPr="001A1558">
        <w:rPr>
          <w:rStyle w:val="Heading3Char"/>
        </w:rPr>
        <w:t>-</w:t>
      </w:r>
      <w:r w:rsidRPr="00BF4701">
        <w:rPr>
          <w:sz w:val="32"/>
          <w:szCs w:val="32"/>
        </w:rPr>
        <w:t xml:space="preserve">proteinase </w:t>
      </w:r>
      <w:r w:rsidR="003F0331">
        <w:rPr>
          <w:sz w:val="32"/>
          <w:szCs w:val="32"/>
        </w:rPr>
        <w:t>I</w:t>
      </w:r>
      <w:r w:rsidRPr="00BF4701">
        <w:rPr>
          <w:sz w:val="32"/>
          <w:szCs w:val="32"/>
        </w:rPr>
        <w:t>nhibitor (alpha</w:t>
      </w:r>
      <w:r w:rsidRPr="00BF4701">
        <w:rPr>
          <w:sz w:val="32"/>
          <w:szCs w:val="32"/>
          <w:vertAlign w:val="subscript"/>
        </w:rPr>
        <w:t>1</w:t>
      </w:r>
      <w:r w:rsidRPr="00BF4701">
        <w:rPr>
          <w:sz w:val="32"/>
          <w:szCs w:val="32"/>
        </w:rPr>
        <w:t xml:space="preserve">-antitrypsin) </w:t>
      </w:r>
      <w:r w:rsidR="003F0331">
        <w:rPr>
          <w:sz w:val="32"/>
          <w:szCs w:val="32"/>
        </w:rPr>
        <w:t>D</w:t>
      </w:r>
      <w:r w:rsidRPr="00BF4701">
        <w:rPr>
          <w:sz w:val="32"/>
          <w:szCs w:val="32"/>
        </w:rPr>
        <w:t>eficiency</w:t>
      </w:r>
      <w:r w:rsidRPr="001A1558">
        <w:rPr>
          <w:rStyle w:val="Heading3Char"/>
        </w:rPr>
        <w:t>:</w:t>
      </w:r>
    </w:p>
    <w:p w14:paraId="5347062C" w14:textId="77777777" w:rsidR="007E2895" w:rsidRPr="00090A0D" w:rsidRDefault="007E2895" w:rsidP="007E2895">
      <w:pPr>
        <w:pStyle w:val="LetteredList"/>
        <w:numPr>
          <w:ilvl w:val="0"/>
          <w:numId w:val="40"/>
        </w:numPr>
        <w:spacing w:after="60"/>
      </w:pPr>
      <w:r w:rsidRPr="00090A0D">
        <w:t>Pretreatment serum alpha</w:t>
      </w:r>
      <w:r w:rsidRPr="00090A0D">
        <w:rPr>
          <w:vertAlign w:val="subscript"/>
        </w:rPr>
        <w:t>1</w:t>
      </w:r>
      <w:r w:rsidRPr="00090A0D">
        <w:t>-antitrypsin (AAT) level</w:t>
      </w:r>
    </w:p>
    <w:p w14:paraId="66C4A01F" w14:textId="77777777" w:rsidR="007E2895" w:rsidRPr="00090A0D" w:rsidRDefault="007E2895" w:rsidP="007E2895">
      <w:pPr>
        <w:pStyle w:val="LetteredList"/>
        <w:numPr>
          <w:ilvl w:val="0"/>
          <w:numId w:val="40"/>
        </w:numPr>
        <w:spacing w:after="60"/>
      </w:pPr>
      <w:r w:rsidRPr="00090A0D">
        <w:t>Pretreatment post-bronchodilation forced expiratory volume in 1 second (FEV</w:t>
      </w:r>
      <w:r w:rsidRPr="00090A0D">
        <w:rPr>
          <w:vertAlign w:val="subscript"/>
        </w:rPr>
        <w:t>1</w:t>
      </w:r>
      <w:r w:rsidRPr="00090A0D">
        <w:t>)</w:t>
      </w:r>
    </w:p>
    <w:p w14:paraId="5C3449E0" w14:textId="17DAEBEB" w:rsidR="007E2895" w:rsidRDefault="007E2895" w:rsidP="007E2895">
      <w:pPr>
        <w:pStyle w:val="LetteredList"/>
        <w:numPr>
          <w:ilvl w:val="0"/>
          <w:numId w:val="40"/>
        </w:numPr>
        <w:spacing w:after="60"/>
      </w:pPr>
      <w:r w:rsidRPr="00090A0D">
        <w:t>AAT protein phenotype or genotype</w:t>
      </w:r>
    </w:p>
    <w:p w14:paraId="23032D59" w14:textId="77777777" w:rsidR="00474E9A" w:rsidRDefault="00474E9A" w:rsidP="00FF66BF">
      <w:pPr>
        <w:pStyle w:val="Heading2"/>
      </w:pPr>
      <w:r>
        <w:t>Coverage Criteria</w:t>
      </w:r>
    </w:p>
    <w:p w14:paraId="1E627F7F" w14:textId="0D4351B8" w:rsidR="00527087" w:rsidRPr="00BF4701" w:rsidRDefault="00527087" w:rsidP="00527087">
      <w:pPr>
        <w:pStyle w:val="Heading3"/>
      </w:pPr>
      <w:r w:rsidRPr="00090A0D">
        <w:t>Alph</w:t>
      </w:r>
      <w:r w:rsidRPr="001A1558">
        <w:rPr>
          <w:rStyle w:val="Heading3Char"/>
        </w:rPr>
        <w:t>a</w:t>
      </w:r>
      <w:r w:rsidRPr="00C47147">
        <w:rPr>
          <w:vertAlign w:val="subscript"/>
        </w:rPr>
        <w:t>1</w:t>
      </w:r>
      <w:r w:rsidRPr="001A1558">
        <w:rPr>
          <w:rStyle w:val="Heading3Char"/>
        </w:rPr>
        <w:t>-</w:t>
      </w:r>
      <w:r w:rsidRPr="00C47147">
        <w:t xml:space="preserve">proteinase </w:t>
      </w:r>
      <w:r w:rsidR="00AB3A2C">
        <w:t>I</w:t>
      </w:r>
      <w:r w:rsidRPr="00C47147">
        <w:t>nhibitor (alpha</w:t>
      </w:r>
      <w:r w:rsidRPr="00C47147">
        <w:rPr>
          <w:vertAlign w:val="subscript"/>
        </w:rPr>
        <w:t>1</w:t>
      </w:r>
      <w:r w:rsidRPr="00C47147">
        <w:t xml:space="preserve">-antitrypsin) </w:t>
      </w:r>
      <w:r w:rsidR="00AB3A2C">
        <w:t>D</w:t>
      </w:r>
      <w:r w:rsidRPr="00C47147">
        <w:t>eficiency</w:t>
      </w:r>
      <w:r>
        <w:rPr>
          <w:vertAlign w:val="superscript"/>
        </w:rPr>
        <w:t>6</w:t>
      </w:r>
      <w:r w:rsidRPr="00090A0D">
        <w:rPr>
          <w:vertAlign w:val="superscript"/>
        </w:rPr>
        <w:t>-8</w:t>
      </w:r>
    </w:p>
    <w:p w14:paraId="43C1FF48" w14:textId="77777777" w:rsidR="00527087" w:rsidRPr="00090A0D" w:rsidRDefault="00527087" w:rsidP="00527087">
      <w:pPr>
        <w:spacing w:after="120"/>
        <w:rPr>
          <w:rFonts w:cs="Arial"/>
          <w:szCs w:val="22"/>
        </w:rPr>
      </w:pPr>
      <w:r w:rsidRPr="00090A0D">
        <w:rPr>
          <w:rFonts w:cs="Arial"/>
          <w:szCs w:val="22"/>
        </w:rPr>
        <w:t>Authorization of 12 months may be granted for treatment of emphysema due to alpha</w:t>
      </w:r>
      <w:r w:rsidRPr="00090A0D">
        <w:rPr>
          <w:rFonts w:cs="Arial"/>
          <w:szCs w:val="22"/>
          <w:vertAlign w:val="subscript"/>
        </w:rPr>
        <w:t>1</w:t>
      </w:r>
      <w:r w:rsidRPr="00090A0D">
        <w:rPr>
          <w:rFonts w:cs="Arial"/>
          <w:szCs w:val="22"/>
        </w:rPr>
        <w:t>-antitrypsin (AAT) deficiency when all of the following criteria are met:</w:t>
      </w:r>
    </w:p>
    <w:p w14:paraId="046B4653" w14:textId="77777777" w:rsidR="00527087" w:rsidRPr="00090A0D" w:rsidRDefault="00527087" w:rsidP="00527087">
      <w:pPr>
        <w:pStyle w:val="ListParagraph"/>
        <w:numPr>
          <w:ilvl w:val="0"/>
          <w:numId w:val="41"/>
        </w:numPr>
        <w:ind w:left="720" w:right="0"/>
        <w:contextualSpacing w:val="0"/>
        <w:textAlignment w:val="auto"/>
      </w:pPr>
      <w:bookmarkStart w:id="1" w:name="_Hlk58397916"/>
      <w:bookmarkStart w:id="2" w:name="_Hlk162879034"/>
      <w:r w:rsidRPr="00090A0D">
        <w:t xml:space="preserve">The member’s pretreatment serum AAT level is less than 11 </w:t>
      </w:r>
      <w:proofErr w:type="spellStart"/>
      <w:r w:rsidRPr="00090A0D">
        <w:t>micromol</w:t>
      </w:r>
      <w:proofErr w:type="spellEnd"/>
      <w:r w:rsidRPr="00090A0D">
        <w:t>/L (80 mg/dL by radial immunodiffusion or 50 mg/dL by nephelometry).</w:t>
      </w:r>
      <w:bookmarkEnd w:id="1"/>
    </w:p>
    <w:p w14:paraId="2275977A" w14:textId="77777777" w:rsidR="00527087" w:rsidRPr="00090A0D" w:rsidRDefault="00527087" w:rsidP="00527087">
      <w:pPr>
        <w:pStyle w:val="ListParagraph"/>
        <w:numPr>
          <w:ilvl w:val="0"/>
          <w:numId w:val="41"/>
        </w:numPr>
        <w:ind w:left="720" w:right="0"/>
        <w:contextualSpacing w:val="0"/>
        <w:textAlignment w:val="auto"/>
      </w:pPr>
      <w:bookmarkStart w:id="3" w:name="_Hlk58397929"/>
      <w:r w:rsidRPr="00090A0D">
        <w:t>The member’s pretreatment post-bronchodilation forced expiratory volume in 1 second (FEV1) is greater than or equal to 25% and less than or equal to 80% of the predicted value.</w:t>
      </w:r>
      <w:bookmarkEnd w:id="3"/>
    </w:p>
    <w:p w14:paraId="1440D513" w14:textId="77777777" w:rsidR="00527087" w:rsidRPr="00090A0D" w:rsidRDefault="00527087" w:rsidP="00527087">
      <w:pPr>
        <w:pStyle w:val="ListParagraph"/>
        <w:numPr>
          <w:ilvl w:val="0"/>
          <w:numId w:val="41"/>
        </w:numPr>
        <w:ind w:left="720" w:right="0"/>
        <w:contextualSpacing w:val="0"/>
        <w:textAlignment w:val="auto"/>
      </w:pPr>
      <w:r w:rsidRPr="00090A0D">
        <w:t xml:space="preserve">The member has a documented </w:t>
      </w:r>
      <w:proofErr w:type="spellStart"/>
      <w:r w:rsidRPr="00090A0D">
        <w:t>PiZZ</w:t>
      </w:r>
      <w:proofErr w:type="spellEnd"/>
      <w:r w:rsidRPr="00090A0D">
        <w:t xml:space="preserve">, </w:t>
      </w:r>
      <w:proofErr w:type="spellStart"/>
      <w:r w:rsidRPr="00090A0D">
        <w:t>PiZ</w:t>
      </w:r>
      <w:proofErr w:type="spellEnd"/>
      <w:r w:rsidRPr="00090A0D">
        <w:t xml:space="preserve"> (null), or Pi (null, null) (homozygous) AAT deficiency or other phenotype or genotype associated with serum AAT concentrations of less than 11 </w:t>
      </w:r>
      <w:proofErr w:type="spellStart"/>
      <w:r w:rsidRPr="00090A0D">
        <w:t>micromol</w:t>
      </w:r>
      <w:proofErr w:type="spellEnd"/>
      <w:r w:rsidRPr="00090A0D">
        <w:t>/L (80 mg/dL by radial immunodiffusion or 50 mg/dL by nephelometry).</w:t>
      </w:r>
    </w:p>
    <w:p w14:paraId="163B04C2" w14:textId="77777777" w:rsidR="00527087" w:rsidRDefault="00527087" w:rsidP="00527087">
      <w:pPr>
        <w:pStyle w:val="ListParagraph"/>
        <w:numPr>
          <w:ilvl w:val="0"/>
          <w:numId w:val="41"/>
        </w:numPr>
        <w:ind w:left="720" w:right="0"/>
        <w:textAlignment w:val="auto"/>
      </w:pPr>
      <w:r w:rsidRPr="00090A0D">
        <w:t xml:space="preserve">The member does not have the </w:t>
      </w:r>
      <w:proofErr w:type="spellStart"/>
      <w:r w:rsidRPr="00090A0D">
        <w:t>PiMZ</w:t>
      </w:r>
      <w:proofErr w:type="spellEnd"/>
      <w:r w:rsidRPr="00090A0D">
        <w:t xml:space="preserve"> or </w:t>
      </w:r>
      <w:proofErr w:type="spellStart"/>
      <w:r w:rsidRPr="00090A0D">
        <w:t>PiMS</w:t>
      </w:r>
      <w:proofErr w:type="spellEnd"/>
      <w:r w:rsidRPr="00090A0D">
        <w:t xml:space="preserve"> AAT deficiency.</w:t>
      </w:r>
      <w:bookmarkEnd w:id="2"/>
    </w:p>
    <w:p w14:paraId="18764737" w14:textId="10582C82" w:rsidR="00B673FC" w:rsidRPr="00FE6378" w:rsidRDefault="00B673FC" w:rsidP="00B673FC">
      <w:pPr>
        <w:pStyle w:val="Heading3"/>
        <w:rPr>
          <w:vertAlign w:val="superscript"/>
        </w:rPr>
      </w:pPr>
      <w:r>
        <w:lastRenderedPageBreak/>
        <w:t>Acute Graft-Versus-Host Disease (GVHD)</w:t>
      </w:r>
      <w:r>
        <w:rPr>
          <w:vertAlign w:val="superscript"/>
        </w:rPr>
        <w:t>9</w:t>
      </w:r>
    </w:p>
    <w:p w14:paraId="293B2C6A" w14:textId="29135616" w:rsidR="00B673FC" w:rsidRPr="00B673FC" w:rsidRDefault="00B673FC" w:rsidP="00B673FC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Authorization of 12 months may be granted for the treatment of steroid-refractory acute graft-versus-host disease (GVHD)</w:t>
      </w:r>
      <w:r w:rsidR="00A921B5" w:rsidRPr="00A921B5">
        <w:rPr>
          <w:rFonts w:cs="Arial"/>
          <w:szCs w:val="22"/>
        </w:rPr>
        <w:t xml:space="preserve"> </w:t>
      </w:r>
      <w:r w:rsidR="00A921B5">
        <w:rPr>
          <w:rFonts w:cs="Arial"/>
          <w:szCs w:val="22"/>
        </w:rPr>
        <w:t>following hematopoietic stem cell transplantation.</w:t>
      </w:r>
    </w:p>
    <w:p w14:paraId="21327226" w14:textId="01248C38" w:rsidR="00474E9A" w:rsidRDefault="00474E9A" w:rsidP="00002A02">
      <w:pPr>
        <w:pStyle w:val="Heading2"/>
        <w:tabs>
          <w:tab w:val="left" w:pos="9885"/>
        </w:tabs>
      </w:pPr>
      <w:r>
        <w:t>Continuation of Therapy</w:t>
      </w:r>
    </w:p>
    <w:p w14:paraId="570C2753" w14:textId="41E27268" w:rsidR="00AD37C6" w:rsidRPr="00BF4701" w:rsidRDefault="00AD37C6" w:rsidP="00AD37C6">
      <w:pPr>
        <w:pStyle w:val="Heading3"/>
        <w:rPr>
          <w:vertAlign w:val="superscript"/>
        </w:rPr>
      </w:pPr>
      <w:r>
        <w:t>Alph</w:t>
      </w:r>
      <w:r w:rsidRPr="001A1558">
        <w:rPr>
          <w:rStyle w:val="Heading3Char"/>
        </w:rPr>
        <w:t>a</w:t>
      </w:r>
      <w:r w:rsidRPr="00C47147">
        <w:rPr>
          <w:vertAlign w:val="subscript"/>
        </w:rPr>
        <w:t>1</w:t>
      </w:r>
      <w:r w:rsidRPr="001A1558">
        <w:rPr>
          <w:rStyle w:val="Heading3Char"/>
        </w:rPr>
        <w:t>-</w:t>
      </w:r>
      <w:r w:rsidRPr="00C47147">
        <w:t xml:space="preserve">proteinase </w:t>
      </w:r>
      <w:r w:rsidR="00AB3A2C">
        <w:t>I</w:t>
      </w:r>
      <w:r w:rsidRPr="00C47147">
        <w:t>nhibitor (alpha</w:t>
      </w:r>
      <w:r w:rsidRPr="00C47147">
        <w:rPr>
          <w:vertAlign w:val="subscript"/>
        </w:rPr>
        <w:t>1</w:t>
      </w:r>
      <w:r w:rsidRPr="00C47147">
        <w:t xml:space="preserve">-antitrypsin) </w:t>
      </w:r>
      <w:r w:rsidR="00AB3A2C">
        <w:t>D</w:t>
      </w:r>
      <w:r w:rsidRPr="00C47147">
        <w:t>eficiency</w:t>
      </w:r>
    </w:p>
    <w:p w14:paraId="084D8C26" w14:textId="77777777" w:rsidR="00AD37C6" w:rsidRPr="00927FAF" w:rsidRDefault="00AD37C6" w:rsidP="00AD37C6">
      <w:pPr>
        <w:spacing w:after="120"/>
      </w:pPr>
      <w:r w:rsidRPr="00927FAF">
        <w:rPr>
          <w:rFonts w:cs="Arial"/>
          <w:szCs w:val="22"/>
        </w:rPr>
        <w:t>Authorization</w:t>
      </w:r>
      <w:r w:rsidRPr="00927FAF">
        <w:t xml:space="preserve"> of 12 months may be granted for continued treatment of emphysema due to alpha</w:t>
      </w:r>
      <w:r w:rsidRPr="00927FAF">
        <w:rPr>
          <w:vertAlign w:val="subscript"/>
        </w:rPr>
        <w:t>1</w:t>
      </w:r>
      <w:r w:rsidRPr="00927FAF">
        <w:t>-antitrypsin (AAT) deficiency when the member is experiencing beneficial clinical response from therapy.</w:t>
      </w:r>
    </w:p>
    <w:p w14:paraId="22063DFC" w14:textId="77777777" w:rsidR="00AD37C6" w:rsidRDefault="00AD37C6" w:rsidP="00AD37C6">
      <w:pPr>
        <w:pStyle w:val="Heading3"/>
      </w:pPr>
      <w:r>
        <w:t>Acute Graft-Versus-Host Disease (GVHD)</w:t>
      </w:r>
    </w:p>
    <w:p w14:paraId="6484BE84" w14:textId="77777777" w:rsidR="00AD37C6" w:rsidRDefault="00AD37C6" w:rsidP="00AD37C6">
      <w:pPr>
        <w:pStyle w:val="BodyText"/>
      </w:pPr>
      <w:r>
        <w:t>All members requesting authorization for continuation of therapy must meet all requirements in the coverage criteria.</w:t>
      </w:r>
    </w:p>
    <w:p w14:paraId="11F753E9" w14:textId="77777777" w:rsidR="00AD37C6" w:rsidRPr="005F2EFC" w:rsidRDefault="00AD37C6" w:rsidP="00AD37C6">
      <w:pPr>
        <w:pStyle w:val="Heading2"/>
        <w:tabs>
          <w:tab w:val="clear" w:pos="2880"/>
          <w:tab w:val="left" w:pos="1944"/>
        </w:tabs>
      </w:pPr>
      <w:r w:rsidRPr="005F2EFC">
        <w:t>Other</w:t>
      </w:r>
    </w:p>
    <w:p w14:paraId="218F4FDB" w14:textId="2D454CD7" w:rsidR="00AD37C6" w:rsidRPr="00BF4701" w:rsidRDefault="00AD37C6" w:rsidP="00AD37C6">
      <w:pPr>
        <w:pStyle w:val="BodyText"/>
      </w:pPr>
      <w:bookmarkStart w:id="4" w:name="OLE_LINK16"/>
      <w:bookmarkStart w:id="5" w:name="OLE_LINK95"/>
      <w:r w:rsidRPr="005F2EFC">
        <w:t>Note: If the member is a current smoker, they should be counseled on the harmful effects of smoking on pulmonary conditions and available smoking cessation options.</w:t>
      </w:r>
      <w:bookmarkEnd w:id="4"/>
      <w:bookmarkEnd w:id="5"/>
    </w:p>
    <w:p w14:paraId="10DA4309" w14:textId="436F5591" w:rsidR="00FF66BF" w:rsidRPr="008D1B34" w:rsidRDefault="00FF66BF" w:rsidP="00D207C4">
      <w:pPr>
        <w:pStyle w:val="Heading2"/>
        <w:keepNext w:val="0"/>
        <w:keepLines/>
      </w:pPr>
      <w:r w:rsidRPr="008D1B34">
        <w:t>References</w:t>
      </w:r>
    </w:p>
    <w:p w14:paraId="329C835B" w14:textId="5A211DC8" w:rsidR="00AD37C6" w:rsidRDefault="00AD37C6" w:rsidP="00D207C4">
      <w:pPr>
        <w:pStyle w:val="ReferenceOrdered"/>
        <w:keepLines/>
        <w:widowControl w:val="0"/>
      </w:pPr>
      <w:r w:rsidRPr="005F2EFC">
        <w:t>Aralast NP [package insert]. Lexington, MA: Baxalta US Inc.; March 2023</w:t>
      </w:r>
      <w:r>
        <w:t>.</w:t>
      </w:r>
    </w:p>
    <w:p w14:paraId="76206E92" w14:textId="77777777" w:rsidR="00AD37C6" w:rsidRPr="005F2EFC" w:rsidRDefault="00AD37C6" w:rsidP="00D207C4">
      <w:pPr>
        <w:pStyle w:val="ReferenceOrdered"/>
        <w:keepLines/>
      </w:pPr>
      <w:r w:rsidRPr="005F2EFC">
        <w:t>Glassia [package insert]. Lexington, MA: Takeda Pharmaceuticals US Inc.; September 2023.</w:t>
      </w:r>
    </w:p>
    <w:p w14:paraId="0C36100B" w14:textId="77777777" w:rsidR="00AD37C6" w:rsidRPr="005F2EFC" w:rsidRDefault="00AD37C6" w:rsidP="00D207C4">
      <w:pPr>
        <w:pStyle w:val="ReferenceOrdered"/>
        <w:keepLines/>
      </w:pPr>
      <w:bookmarkStart w:id="6" w:name="_Hlk121130002"/>
      <w:r w:rsidRPr="005F2EFC">
        <w:t>Prolastin-C Liquid [package insert]. Research Triangle Park, NC: Grifols Therapeutics LLC.; May 2020.</w:t>
      </w:r>
    </w:p>
    <w:bookmarkEnd w:id="6"/>
    <w:p w14:paraId="111226ED" w14:textId="77777777" w:rsidR="00AD37C6" w:rsidRPr="005F2EFC" w:rsidRDefault="00AD37C6" w:rsidP="00D207C4">
      <w:pPr>
        <w:pStyle w:val="ReferenceOrdered"/>
        <w:keepLines/>
      </w:pPr>
      <w:r w:rsidRPr="005F2EFC">
        <w:t>Prolastin-C [package insert]. Research Triangle Park, NC: Grifols Therapeutics LLC.; January 2022.</w:t>
      </w:r>
    </w:p>
    <w:p w14:paraId="006C1D08" w14:textId="77777777" w:rsidR="00AD37C6" w:rsidRPr="005F2EFC" w:rsidRDefault="00AD37C6" w:rsidP="00D207C4">
      <w:pPr>
        <w:pStyle w:val="ReferenceOrdered"/>
        <w:keepLines/>
      </w:pPr>
      <w:r w:rsidRPr="005F2EFC">
        <w:t>Zemaira [package insert]. Kankakee, IL: CSL Behring LLC; January 2024.</w:t>
      </w:r>
    </w:p>
    <w:p w14:paraId="4EA26198" w14:textId="77777777" w:rsidR="00AD37C6" w:rsidRPr="005F2EFC" w:rsidRDefault="00AD37C6" w:rsidP="00D207C4">
      <w:pPr>
        <w:pStyle w:val="ReferenceOrdered"/>
        <w:keepLines/>
      </w:pPr>
      <w:r w:rsidRPr="005F2EFC">
        <w:t>American Thoracic Society/European Respiratory Society statement: standards for the diagnosis and management of individuals with alpha-1 antitrypsin deficiency.</w:t>
      </w:r>
      <w:r w:rsidRPr="00522044">
        <w:t xml:space="preserve"> Am J Respir Crit Care Med.</w:t>
      </w:r>
      <w:r w:rsidRPr="005F2EFC">
        <w:t xml:space="preserve"> 2003;168:818-900.</w:t>
      </w:r>
    </w:p>
    <w:p w14:paraId="6085EF09" w14:textId="77777777" w:rsidR="00AD37C6" w:rsidRPr="005F2EFC" w:rsidRDefault="00AD37C6" w:rsidP="00D207C4">
      <w:pPr>
        <w:pStyle w:val="ReferenceOrdered"/>
        <w:keepLines/>
      </w:pPr>
      <w:proofErr w:type="spellStart"/>
      <w:r w:rsidRPr="005F2EFC">
        <w:t>Marciniuk</w:t>
      </w:r>
      <w:proofErr w:type="spellEnd"/>
      <w:r w:rsidRPr="005F2EFC">
        <w:t xml:space="preserve"> DD, Hernandez P, Balter M, et al. Alpha-1 antitrypsin deficiency targeted testing and augmentation therapy: a Canadian Thoracic Society clinical practice guideline. </w:t>
      </w:r>
      <w:r w:rsidRPr="00902DA1">
        <w:rPr>
          <w:iCs/>
        </w:rPr>
        <w:t xml:space="preserve">Can Respir J. </w:t>
      </w:r>
      <w:r w:rsidRPr="005F2EFC">
        <w:t>2012;19:109-116.</w:t>
      </w:r>
    </w:p>
    <w:p w14:paraId="12F8740F" w14:textId="77777777" w:rsidR="00AD37C6" w:rsidRPr="005F2EFC" w:rsidRDefault="00AD37C6" w:rsidP="00D207C4">
      <w:pPr>
        <w:pStyle w:val="ReferenceOrdered"/>
        <w:keepLines/>
        <w:tabs>
          <w:tab w:val="left" w:pos="7650"/>
        </w:tabs>
      </w:pPr>
      <w:proofErr w:type="spellStart"/>
      <w:r w:rsidRPr="005F2EFC">
        <w:t>Sandhaus</w:t>
      </w:r>
      <w:proofErr w:type="spellEnd"/>
      <w:r w:rsidRPr="005F2EFC">
        <w:t xml:space="preserve"> RA, Turino G, </w:t>
      </w:r>
      <w:proofErr w:type="spellStart"/>
      <w:r w:rsidRPr="005F2EFC">
        <w:t>Brantly</w:t>
      </w:r>
      <w:proofErr w:type="spellEnd"/>
      <w:r w:rsidRPr="005F2EFC">
        <w:t xml:space="preserve"> ML, et al. The diagnosis and management of alpha-1 antitrypsin deficiency in the adult. </w:t>
      </w:r>
      <w:r w:rsidRPr="00902DA1">
        <w:rPr>
          <w:iCs/>
        </w:rPr>
        <w:t xml:space="preserve">Chronic </w:t>
      </w:r>
      <w:proofErr w:type="spellStart"/>
      <w:r w:rsidRPr="00902DA1">
        <w:rPr>
          <w:iCs/>
        </w:rPr>
        <w:t>Obstr</w:t>
      </w:r>
      <w:proofErr w:type="spellEnd"/>
      <w:r w:rsidRPr="00902DA1">
        <w:rPr>
          <w:iCs/>
        </w:rPr>
        <w:t xml:space="preserve"> </w:t>
      </w:r>
      <w:proofErr w:type="spellStart"/>
      <w:r w:rsidRPr="00902DA1">
        <w:rPr>
          <w:iCs/>
        </w:rPr>
        <w:t>Pulm</w:t>
      </w:r>
      <w:proofErr w:type="spellEnd"/>
      <w:r w:rsidRPr="00902DA1">
        <w:rPr>
          <w:iCs/>
        </w:rPr>
        <w:t xml:space="preserve"> Dis</w:t>
      </w:r>
      <w:r w:rsidRPr="005F2EFC">
        <w:t>. 2016;3(3):668-82.</w:t>
      </w:r>
    </w:p>
    <w:p w14:paraId="6B6F9991" w14:textId="3233AFF1" w:rsidR="000574AC" w:rsidRPr="005F2EFC" w:rsidRDefault="00ED796C" w:rsidP="003A4E72">
      <w:pPr>
        <w:pStyle w:val="ReferenceOrdered"/>
        <w:keepLines/>
      </w:pPr>
      <w:r w:rsidRPr="005F2EFC">
        <w:lastRenderedPageBreak/>
        <w:t>The NCCN Drugs &amp; Biologics Compendium 2024 National Comprehensive Cancer Network, Inc. http://www.nccn.org. Accessed December 16, 2024.</w:t>
      </w:r>
    </w:p>
    <w:sectPr w:rsidR="000574AC" w:rsidRPr="005F2EFC" w:rsidSect="00474E9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09AC" w14:textId="77777777" w:rsidR="00281BEB" w:rsidRDefault="00281BEB">
      <w:r>
        <w:separator/>
      </w:r>
    </w:p>
  </w:endnote>
  <w:endnote w:type="continuationSeparator" w:id="0">
    <w:p w14:paraId="563AD548" w14:textId="77777777" w:rsidR="00281BEB" w:rsidRDefault="00281BEB">
      <w:r>
        <w:continuationSeparator/>
      </w:r>
    </w:p>
  </w:endnote>
  <w:endnote w:type="continuationNotice" w:id="1">
    <w:p w14:paraId="039B7A3E" w14:textId="77777777" w:rsidR="00281BEB" w:rsidRDefault="00281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23B420C2" w:rsidR="00C36B72" w:rsidRPr="00EC47B6" w:rsidRDefault="00260020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C11F1D" w:rsidRPr="00C11F1D">
      <w:rPr>
        <w:rFonts w:cs="Arial"/>
        <w:noProof/>
        <w:sz w:val="16"/>
        <w:szCs w:val="16"/>
      </w:rPr>
      <w:t>Alpha1-Proteinase</w:t>
    </w:r>
    <w:r w:rsidR="00C11F1D">
      <w:rPr>
        <w:rFonts w:cs="Arial"/>
        <w:noProof/>
        <w:snapToGrid w:val="0"/>
        <w:color w:val="000000"/>
        <w:sz w:val="16"/>
        <w:szCs w:val="16"/>
      </w:rPr>
      <w:t xml:space="preserve"> Inhibitors SGM</w:t>
    </w:r>
    <w:r w:rsidR="00C11F1D" w:rsidRPr="00C11F1D">
      <w:rPr>
        <w:rFonts w:cs="Arial"/>
        <w:noProof/>
        <w:sz w:val="16"/>
        <w:szCs w:val="16"/>
      </w:rPr>
      <w:t xml:space="preserve"> 1877-A</w:t>
    </w:r>
    <w:r w:rsidR="00C11F1D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="00C36B72"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="00C36B72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445157EC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447DFFF" w:rsidR="00F75C81" w:rsidRPr="00AA1E6A" w:rsidRDefault="00C36B72" w:rsidP="00F7164F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7A4EB61D" w:rsidR="00F50D98" w:rsidRPr="00EC47B6" w:rsidRDefault="00260020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410885" w:rsidRPr="00410885">
      <w:rPr>
        <w:rFonts w:cs="Arial"/>
        <w:noProof/>
        <w:sz w:val="16"/>
        <w:szCs w:val="16"/>
      </w:rPr>
      <w:t>Alpha1-Proteinase</w:t>
    </w:r>
    <w:r w:rsidR="00410885">
      <w:rPr>
        <w:rFonts w:cs="Arial"/>
        <w:noProof/>
        <w:snapToGrid w:val="0"/>
        <w:color w:val="000000"/>
        <w:sz w:val="16"/>
        <w:szCs w:val="16"/>
      </w:rPr>
      <w:t xml:space="preserve"> Inhibitors SGM</w:t>
    </w:r>
    <w:r w:rsidR="00410885" w:rsidRPr="00410885">
      <w:rPr>
        <w:rFonts w:cs="Arial"/>
        <w:noProof/>
        <w:sz w:val="16"/>
        <w:szCs w:val="16"/>
      </w:rPr>
      <w:t xml:space="preserve"> 1877-A</w:t>
    </w:r>
    <w:r w:rsidR="00410885">
      <w:rPr>
        <w:rFonts w:cs="Arial"/>
        <w:noProof/>
        <w:snapToGrid w:val="0"/>
        <w:color w:val="000000"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="00F50D98" w:rsidRPr="00EC47B6">
      <w:rPr>
        <w:rFonts w:cs="Arial"/>
        <w:snapToGrid w:val="0"/>
        <w:color w:val="000000"/>
        <w:sz w:val="16"/>
      </w:rPr>
      <w:tab/>
      <w:t>© 202</w:t>
    </w:r>
    <w:r>
      <w:rPr>
        <w:rFonts w:cs="Arial"/>
        <w:snapToGrid w:val="0"/>
        <w:color w:val="000000"/>
        <w:sz w:val="16"/>
      </w:rPr>
      <w:t>5</w:t>
    </w:r>
    <w:r w:rsidR="00F50D98"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700272ED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17DE96F3" w:rsidR="00ED04EC" w:rsidRPr="00F50D98" w:rsidRDefault="00F50D98" w:rsidP="00062511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1674" w14:textId="03CB438C" w:rsidR="000F5383" w:rsidRPr="00F50D98" w:rsidRDefault="000F5383" w:rsidP="00F50D98">
    <w:pPr>
      <w:tabs>
        <w:tab w:val="right" w:pos="10710"/>
      </w:tabs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0CB1" w14:textId="77777777" w:rsidR="00281BEB" w:rsidRDefault="00281BEB">
      <w:r>
        <w:separator/>
      </w:r>
    </w:p>
  </w:footnote>
  <w:footnote w:type="continuationSeparator" w:id="0">
    <w:p w14:paraId="03CAA5FD" w14:textId="77777777" w:rsidR="00281BEB" w:rsidRDefault="00281BEB">
      <w:r>
        <w:continuationSeparator/>
      </w:r>
    </w:p>
  </w:footnote>
  <w:footnote w:type="continuationNotice" w:id="1">
    <w:p w14:paraId="2ED9333C" w14:textId="77777777" w:rsidR="00281BEB" w:rsidRDefault="00281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6427E4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6427E4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6427E4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6427E4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788C4781" w:rsidR="002B608C" w:rsidRPr="006427E4" w:rsidRDefault="0053437A" w:rsidP="00ED04EC">
          <w:pPr>
            <w:pStyle w:val="Header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18</w:t>
          </w:r>
          <w:r w:rsidR="008B4452">
            <w:rPr>
              <w:rFonts w:cs="Arial"/>
              <w:sz w:val="16"/>
              <w:szCs w:val="16"/>
            </w:rPr>
            <w:t>77</w:t>
          </w:r>
          <w:r w:rsidR="002B608C" w:rsidRPr="006427E4">
            <w:rPr>
              <w:rFonts w:cs="Arial"/>
              <w:sz w:val="16"/>
              <w:szCs w:val="16"/>
            </w:rPr>
            <w:t>-</w:t>
          </w:r>
          <w:r w:rsidR="00002A02">
            <w:rPr>
              <w:rFonts w:cs="Arial"/>
              <w:sz w:val="16"/>
              <w:szCs w:val="16"/>
            </w:rPr>
            <w:t>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0F5383" w:rsidRPr="00ED04EC" w14:paraId="7F49A57F" w14:textId="77777777" w:rsidTr="00551DCD">
      <w:trPr>
        <w:trHeight w:val="144"/>
        <w:jc w:val="right"/>
      </w:trPr>
      <w:tc>
        <w:tcPr>
          <w:tcW w:w="1854" w:type="dxa"/>
          <w:hideMark/>
        </w:tcPr>
        <w:p w14:paraId="4ADC44D6" w14:textId="77777777" w:rsidR="000F5383" w:rsidRPr="004159B2" w:rsidRDefault="000F5383" w:rsidP="009E1F57">
          <w:pPr>
            <w:pStyle w:val="RefTableData"/>
          </w:pPr>
          <w:r w:rsidRPr="004159B2">
            <w:t>Reference number(s)</w:t>
          </w:r>
        </w:p>
      </w:tc>
    </w:tr>
    <w:tr w:rsidR="000F5383" w:rsidRPr="00ED04EC" w14:paraId="2259874D" w14:textId="77777777" w:rsidTr="00551DCD">
      <w:trPr>
        <w:trHeight w:val="378"/>
        <w:jc w:val="right"/>
      </w:trPr>
      <w:tc>
        <w:tcPr>
          <w:tcW w:w="1854" w:type="dxa"/>
          <w:hideMark/>
        </w:tcPr>
        <w:p w14:paraId="475EFE95" w14:textId="77777777" w:rsidR="000F5383" w:rsidRPr="00FF66BF" w:rsidRDefault="000F5383" w:rsidP="009E1F57">
          <w:pPr>
            <w:pStyle w:val="RefTableHeader"/>
          </w:pPr>
        </w:p>
      </w:tc>
    </w:tr>
  </w:tbl>
  <w:p w14:paraId="5ACB788B" w14:textId="77777777" w:rsidR="000F5383" w:rsidRPr="000F5383" w:rsidRDefault="000F5383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235023C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7B485A"/>
    <w:multiLevelType w:val="hybridMultilevel"/>
    <w:tmpl w:val="E0247FD8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C96CB3"/>
    <w:multiLevelType w:val="hybridMultilevel"/>
    <w:tmpl w:val="A5486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" w15:restartNumberingAfterBreak="0">
    <w:nsid w:val="1F066E83"/>
    <w:multiLevelType w:val="hybridMultilevel"/>
    <w:tmpl w:val="8E467A08"/>
    <w:lvl w:ilvl="0" w:tplc="361C16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C801DC"/>
    <w:multiLevelType w:val="hybridMultilevel"/>
    <w:tmpl w:val="036E0860"/>
    <w:lvl w:ilvl="0" w:tplc="9B1E5ECE">
      <w:start w:val="1"/>
      <w:numFmt w:val="upperLetter"/>
      <w:pStyle w:val="ReferenceInternal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360B52"/>
    <w:multiLevelType w:val="hybridMultilevel"/>
    <w:tmpl w:val="47CC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B20E1"/>
    <w:multiLevelType w:val="hybridMultilevel"/>
    <w:tmpl w:val="A838F1F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9D18D0"/>
    <w:multiLevelType w:val="hybridMultilevel"/>
    <w:tmpl w:val="F5A099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61371"/>
    <w:multiLevelType w:val="hybridMultilevel"/>
    <w:tmpl w:val="1466F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C44FB"/>
    <w:multiLevelType w:val="hybridMultilevel"/>
    <w:tmpl w:val="FF3C61F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519D2"/>
    <w:multiLevelType w:val="hybridMultilevel"/>
    <w:tmpl w:val="A0BA705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9050DC"/>
    <w:multiLevelType w:val="hybridMultilevel"/>
    <w:tmpl w:val="811A59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C60B7"/>
    <w:multiLevelType w:val="hybridMultilevel"/>
    <w:tmpl w:val="319488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F42DB"/>
    <w:multiLevelType w:val="hybridMultilevel"/>
    <w:tmpl w:val="8FC269EE"/>
    <w:lvl w:ilvl="0" w:tplc="C540E4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8326B1"/>
    <w:multiLevelType w:val="hybridMultilevel"/>
    <w:tmpl w:val="2320E4D8"/>
    <w:lvl w:ilvl="0" w:tplc="DA9C1D4E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A38B5"/>
    <w:multiLevelType w:val="hybridMultilevel"/>
    <w:tmpl w:val="68340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51773"/>
    <w:multiLevelType w:val="hybridMultilevel"/>
    <w:tmpl w:val="D8E8C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21869">
    <w:abstractNumId w:val="13"/>
  </w:num>
  <w:num w:numId="2" w16cid:durableId="606935877">
    <w:abstractNumId w:val="35"/>
  </w:num>
  <w:num w:numId="3" w16cid:durableId="611589570">
    <w:abstractNumId w:val="25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22"/>
  </w:num>
  <w:num w:numId="17" w16cid:durableId="2128498676">
    <w:abstractNumId w:val="38"/>
  </w:num>
  <w:num w:numId="18" w16cid:durableId="299724409">
    <w:abstractNumId w:val="28"/>
  </w:num>
  <w:num w:numId="19" w16cid:durableId="214585573">
    <w:abstractNumId w:val="16"/>
  </w:num>
  <w:num w:numId="20" w16cid:durableId="1289816170">
    <w:abstractNumId w:val="18"/>
  </w:num>
  <w:num w:numId="21" w16cid:durableId="1066490929">
    <w:abstractNumId w:val="39"/>
  </w:num>
  <w:num w:numId="22" w16cid:durableId="1472481103">
    <w:abstractNumId w:val="30"/>
  </w:num>
  <w:num w:numId="23" w16cid:durableId="1997420403">
    <w:abstractNumId w:val="36"/>
  </w:num>
  <w:num w:numId="24" w16cid:durableId="33312838">
    <w:abstractNumId w:val="29"/>
  </w:num>
  <w:num w:numId="25" w16cid:durableId="507404939">
    <w:abstractNumId w:val="21"/>
  </w:num>
  <w:num w:numId="26" w16cid:durableId="1199008779">
    <w:abstractNumId w:val="17"/>
  </w:num>
  <w:num w:numId="27" w16cid:durableId="313687096">
    <w:abstractNumId w:val="23"/>
  </w:num>
  <w:num w:numId="28" w16cid:durableId="235746884">
    <w:abstractNumId w:val="12"/>
  </w:num>
  <w:num w:numId="29" w16cid:durableId="685014010">
    <w:abstractNumId w:val="24"/>
  </w:num>
  <w:num w:numId="30" w16cid:durableId="879166249">
    <w:abstractNumId w:val="34"/>
  </w:num>
  <w:num w:numId="31" w16cid:durableId="1243566383">
    <w:abstractNumId w:val="31"/>
  </w:num>
  <w:num w:numId="32" w16cid:durableId="1658726212">
    <w:abstractNumId w:val="20"/>
  </w:num>
  <w:num w:numId="33" w16cid:durableId="345324521">
    <w:abstractNumId w:val="33"/>
  </w:num>
  <w:num w:numId="34" w16cid:durableId="845704041">
    <w:abstractNumId w:val="32"/>
  </w:num>
  <w:num w:numId="35" w16cid:durableId="1879706093">
    <w:abstractNumId w:val="37"/>
  </w:num>
  <w:num w:numId="36" w16cid:durableId="1810242603">
    <w:abstractNumId w:val="15"/>
  </w:num>
  <w:num w:numId="37" w16cid:durableId="1341129603">
    <w:abstractNumId w:val="39"/>
  </w:num>
  <w:num w:numId="38" w16cid:durableId="1564099394">
    <w:abstractNumId w:val="39"/>
  </w:num>
  <w:num w:numId="39" w16cid:durableId="348216433">
    <w:abstractNumId w:val="19"/>
  </w:num>
  <w:num w:numId="40" w16cid:durableId="647052370">
    <w:abstractNumId w:val="26"/>
  </w:num>
  <w:num w:numId="41" w16cid:durableId="572088083">
    <w:abstractNumId w:val="27"/>
  </w:num>
  <w:num w:numId="42" w16cid:durableId="870874302">
    <w:abstractNumId w:val="10"/>
  </w:num>
  <w:num w:numId="43" w16cid:durableId="1587880961">
    <w:abstractNumId w:val="4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2A02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50"/>
    <w:rsid w:val="000554ED"/>
    <w:rsid w:val="00055897"/>
    <w:rsid w:val="000561B5"/>
    <w:rsid w:val="000564BC"/>
    <w:rsid w:val="00057358"/>
    <w:rsid w:val="000574AC"/>
    <w:rsid w:val="00057C68"/>
    <w:rsid w:val="00057CD8"/>
    <w:rsid w:val="00060959"/>
    <w:rsid w:val="000609B8"/>
    <w:rsid w:val="00062511"/>
    <w:rsid w:val="00062816"/>
    <w:rsid w:val="00064347"/>
    <w:rsid w:val="00064396"/>
    <w:rsid w:val="00065AC6"/>
    <w:rsid w:val="000661DB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3832"/>
    <w:rsid w:val="000749E4"/>
    <w:rsid w:val="00074BFE"/>
    <w:rsid w:val="00075C18"/>
    <w:rsid w:val="000760A2"/>
    <w:rsid w:val="000760F2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6C8"/>
    <w:rsid w:val="000A5AE5"/>
    <w:rsid w:val="000A71EC"/>
    <w:rsid w:val="000A7D51"/>
    <w:rsid w:val="000B0F9D"/>
    <w:rsid w:val="000B104D"/>
    <w:rsid w:val="000B1961"/>
    <w:rsid w:val="000B20CD"/>
    <w:rsid w:val="000B2E6C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6A9A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395C"/>
    <w:rsid w:val="00244442"/>
    <w:rsid w:val="0024498F"/>
    <w:rsid w:val="002504F9"/>
    <w:rsid w:val="00250C39"/>
    <w:rsid w:val="00250E25"/>
    <w:rsid w:val="00251EE2"/>
    <w:rsid w:val="00252864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020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BEB"/>
    <w:rsid w:val="00281F6C"/>
    <w:rsid w:val="0028234F"/>
    <w:rsid w:val="00282453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4B25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5D89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08C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D723B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40EC"/>
    <w:rsid w:val="002F5F01"/>
    <w:rsid w:val="002F6300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C1E"/>
    <w:rsid w:val="00315D6F"/>
    <w:rsid w:val="00316DC1"/>
    <w:rsid w:val="00320652"/>
    <w:rsid w:val="003213DE"/>
    <w:rsid w:val="00321446"/>
    <w:rsid w:val="00322EB1"/>
    <w:rsid w:val="00323534"/>
    <w:rsid w:val="00323A74"/>
    <w:rsid w:val="003242E2"/>
    <w:rsid w:val="003246E1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3F1B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4B8F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A0693"/>
    <w:rsid w:val="003A2056"/>
    <w:rsid w:val="003A4B3A"/>
    <w:rsid w:val="003A4E72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4EA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331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0F0F"/>
    <w:rsid w:val="00401319"/>
    <w:rsid w:val="00401820"/>
    <w:rsid w:val="00402C8F"/>
    <w:rsid w:val="00402FED"/>
    <w:rsid w:val="00403087"/>
    <w:rsid w:val="004032A5"/>
    <w:rsid w:val="0040594C"/>
    <w:rsid w:val="00405C5D"/>
    <w:rsid w:val="00407C38"/>
    <w:rsid w:val="0041061B"/>
    <w:rsid w:val="00410885"/>
    <w:rsid w:val="00411195"/>
    <w:rsid w:val="00411413"/>
    <w:rsid w:val="004127A0"/>
    <w:rsid w:val="00412ABD"/>
    <w:rsid w:val="00412B62"/>
    <w:rsid w:val="00412C14"/>
    <w:rsid w:val="00413801"/>
    <w:rsid w:val="00413861"/>
    <w:rsid w:val="0041471C"/>
    <w:rsid w:val="004154F5"/>
    <w:rsid w:val="0041567E"/>
    <w:rsid w:val="004159B2"/>
    <w:rsid w:val="00420227"/>
    <w:rsid w:val="00420513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4E9A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50F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1476"/>
    <w:rsid w:val="004C3213"/>
    <w:rsid w:val="004C32BE"/>
    <w:rsid w:val="004C3F91"/>
    <w:rsid w:val="004C4493"/>
    <w:rsid w:val="004C45E2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D6C37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447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76E"/>
    <w:rsid w:val="00521874"/>
    <w:rsid w:val="0052196B"/>
    <w:rsid w:val="00522044"/>
    <w:rsid w:val="005233C0"/>
    <w:rsid w:val="00524FAE"/>
    <w:rsid w:val="00525A0E"/>
    <w:rsid w:val="00525DDE"/>
    <w:rsid w:val="00527038"/>
    <w:rsid w:val="00527087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37A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9B1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4F65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803"/>
    <w:rsid w:val="006278F4"/>
    <w:rsid w:val="00627B98"/>
    <w:rsid w:val="00631305"/>
    <w:rsid w:val="00631CB5"/>
    <w:rsid w:val="00631F71"/>
    <w:rsid w:val="006328A6"/>
    <w:rsid w:val="00632C68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7E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0C1"/>
    <w:rsid w:val="006C05C5"/>
    <w:rsid w:val="006C093D"/>
    <w:rsid w:val="006C163A"/>
    <w:rsid w:val="006C1D68"/>
    <w:rsid w:val="006C3252"/>
    <w:rsid w:val="006C4149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D76FA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0F23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7F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5BC5"/>
    <w:rsid w:val="0075604E"/>
    <w:rsid w:val="00760B2C"/>
    <w:rsid w:val="00761EE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17A1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895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376D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6A99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59E9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4452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1161"/>
    <w:rsid w:val="0090242B"/>
    <w:rsid w:val="00902DA1"/>
    <w:rsid w:val="00903866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6F5A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760"/>
    <w:rsid w:val="00934A46"/>
    <w:rsid w:val="00935BC3"/>
    <w:rsid w:val="00937266"/>
    <w:rsid w:val="00940910"/>
    <w:rsid w:val="00940AA9"/>
    <w:rsid w:val="00941264"/>
    <w:rsid w:val="0094296E"/>
    <w:rsid w:val="0094298C"/>
    <w:rsid w:val="009434E1"/>
    <w:rsid w:val="0094553A"/>
    <w:rsid w:val="00946337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67D31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11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0B50"/>
    <w:rsid w:val="009F1EDE"/>
    <w:rsid w:val="009F2CEE"/>
    <w:rsid w:val="009F2EF1"/>
    <w:rsid w:val="009F3F1F"/>
    <w:rsid w:val="009F426B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07E45"/>
    <w:rsid w:val="00A10362"/>
    <w:rsid w:val="00A11268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ECB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1B5"/>
    <w:rsid w:val="00A923EA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987"/>
    <w:rsid w:val="00AB299D"/>
    <w:rsid w:val="00AB2BF1"/>
    <w:rsid w:val="00AB3600"/>
    <w:rsid w:val="00AB3A2C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1F91"/>
    <w:rsid w:val="00AD37C6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C5C"/>
    <w:rsid w:val="00AF6F09"/>
    <w:rsid w:val="00B00963"/>
    <w:rsid w:val="00B01716"/>
    <w:rsid w:val="00B01BDE"/>
    <w:rsid w:val="00B02279"/>
    <w:rsid w:val="00B03227"/>
    <w:rsid w:val="00B03852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3AEF"/>
    <w:rsid w:val="00B253A6"/>
    <w:rsid w:val="00B25C33"/>
    <w:rsid w:val="00B25E29"/>
    <w:rsid w:val="00B262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75D"/>
    <w:rsid w:val="00B55FE1"/>
    <w:rsid w:val="00B569FC"/>
    <w:rsid w:val="00B57430"/>
    <w:rsid w:val="00B574C8"/>
    <w:rsid w:val="00B57C0E"/>
    <w:rsid w:val="00B61A8B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3FC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1D0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89A"/>
    <w:rsid w:val="00BD5D53"/>
    <w:rsid w:val="00BD672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FC6"/>
    <w:rsid w:val="00BE6B5E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1F1D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84"/>
    <w:rsid w:val="00C20CF2"/>
    <w:rsid w:val="00C2143B"/>
    <w:rsid w:val="00C218B6"/>
    <w:rsid w:val="00C21B28"/>
    <w:rsid w:val="00C21D3B"/>
    <w:rsid w:val="00C22262"/>
    <w:rsid w:val="00C2251A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868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772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3EA6"/>
    <w:rsid w:val="00CE409F"/>
    <w:rsid w:val="00CE4870"/>
    <w:rsid w:val="00CE61C3"/>
    <w:rsid w:val="00CE6A0D"/>
    <w:rsid w:val="00CE71E6"/>
    <w:rsid w:val="00CE72B8"/>
    <w:rsid w:val="00CE76BE"/>
    <w:rsid w:val="00CE7E59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E0E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7C4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3B30"/>
    <w:rsid w:val="00D44336"/>
    <w:rsid w:val="00D44BA5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20CD"/>
    <w:rsid w:val="00D5213B"/>
    <w:rsid w:val="00D5238D"/>
    <w:rsid w:val="00D5331B"/>
    <w:rsid w:val="00D552E2"/>
    <w:rsid w:val="00D5579C"/>
    <w:rsid w:val="00D56213"/>
    <w:rsid w:val="00D566EA"/>
    <w:rsid w:val="00D56FC3"/>
    <w:rsid w:val="00D578A8"/>
    <w:rsid w:val="00D6162B"/>
    <w:rsid w:val="00D629FE"/>
    <w:rsid w:val="00D64807"/>
    <w:rsid w:val="00D6549B"/>
    <w:rsid w:val="00D65533"/>
    <w:rsid w:val="00D665CC"/>
    <w:rsid w:val="00D66B08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1B3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C7F0E"/>
    <w:rsid w:val="00DD11EC"/>
    <w:rsid w:val="00DD1A9A"/>
    <w:rsid w:val="00DD1F42"/>
    <w:rsid w:val="00DD23B6"/>
    <w:rsid w:val="00DD34C0"/>
    <w:rsid w:val="00DD4EA3"/>
    <w:rsid w:val="00DD5193"/>
    <w:rsid w:val="00DD56B8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3C26"/>
    <w:rsid w:val="00DE4069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2EA9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78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96C"/>
    <w:rsid w:val="00ED7D4A"/>
    <w:rsid w:val="00EE02E3"/>
    <w:rsid w:val="00EE07BA"/>
    <w:rsid w:val="00EE0D34"/>
    <w:rsid w:val="00EE1515"/>
    <w:rsid w:val="00EE25FF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792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2E8E"/>
    <w:rsid w:val="00F23678"/>
    <w:rsid w:val="00F23747"/>
    <w:rsid w:val="00F24307"/>
    <w:rsid w:val="00F246C7"/>
    <w:rsid w:val="00F2497D"/>
    <w:rsid w:val="00F25199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4C5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64F"/>
    <w:rsid w:val="00F718A3"/>
    <w:rsid w:val="00F71DC9"/>
    <w:rsid w:val="00F729CF"/>
    <w:rsid w:val="00F72FC2"/>
    <w:rsid w:val="00F737FC"/>
    <w:rsid w:val="00F749A8"/>
    <w:rsid w:val="00F74F32"/>
    <w:rsid w:val="00F75C81"/>
    <w:rsid w:val="00F760BB"/>
    <w:rsid w:val="00F76A97"/>
    <w:rsid w:val="00F773AB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282453"/>
    <w:pPr>
      <w:outlineLvl w:val="3"/>
    </w:pPr>
    <w:rPr>
      <w:b w:val="0"/>
      <w:bCs w:val="0"/>
      <w:color w:val="00000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282453"/>
    <w:rPr>
      <w:rFonts w:ascii="CVS Health Sans" w:eastAsiaTheme="majorEastAsia" w:hAnsi="CVS Health Sans" w:cs="Arial"/>
      <w:color w:val="000000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qFormat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ReferenceInternalOrdered">
    <w:name w:val="Reference Internal Ordered"/>
    <w:basedOn w:val="ReferenceOrdered"/>
    <w:rsid w:val="00DE3C26"/>
    <w:pPr>
      <w:numPr>
        <w:numId w:val="39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051575-9DA6-4E28-9882-861A037FC21B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purl.org/dc/elements/1.1/"/>
    <ds:schemaRef ds:uri="http://schemas.microsoft.com/office/2006/metadata/properties"/>
    <ds:schemaRef ds:uri="http://schemas.microsoft.com/sharepoint/v4"/>
    <ds:schemaRef ds:uri="http://schemas.openxmlformats.org/package/2006/metadata/core-properties"/>
    <ds:schemaRef ds:uri="eb403b6b-7b96-4fe7-afcc-b3d44ddfb7d8"/>
    <ds:schemaRef ds:uri="http://purl.org/dc/terms/"/>
    <ds:schemaRef ds:uri="http://schemas.microsoft.com/office/infopath/2007/PartnerControls"/>
    <ds:schemaRef ds:uri="http://schemas.microsoft.com/office/2006/documentManagement/types"/>
    <ds:schemaRef ds:uri="7757c461-07c7-44e1-99a5-77c6cc8be59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633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Specialty Quantity Limit Vanflyta 6097-H 2024</vt:lpstr>
    </vt:vector>
  </TitlesOfParts>
  <Company>PCS Health Systems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Alpha1-Proteinase Inhibitors SGM 1877-A</dc:title>
  <dc:subject/>
  <dc:creator>CVS Caremark</dc:creator>
  <cp:keywords/>
  <cp:lastModifiedBy>Huerta, Linda M</cp:lastModifiedBy>
  <cp:revision>7</cp:revision>
  <cp:lastPrinted>2018-01-09T05:01:00Z</cp:lastPrinted>
  <dcterms:created xsi:type="dcterms:W3CDTF">2025-04-24T15:22:00Z</dcterms:created>
  <dcterms:modified xsi:type="dcterms:W3CDTF">2025-04-24T15:27:00Z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7955400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